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9CF1" w14:textId="272DF3AE" w:rsidR="00DC34A8" w:rsidRDefault="000475BD">
      <w:pPr>
        <w:rPr>
          <w:b/>
        </w:rPr>
      </w:pPr>
      <w:r>
        <w:rPr>
          <w:b/>
        </w:rPr>
        <w:t xml:space="preserve">HCW </w:t>
      </w:r>
      <w:r w:rsidR="00DC34A8" w:rsidRPr="004902E9">
        <w:rPr>
          <w:b/>
        </w:rPr>
        <w:t>Letter to eligible employee</w:t>
      </w:r>
    </w:p>
    <w:p w14:paraId="45EFA5FD" w14:textId="0E39F9D6" w:rsidR="00BE061F" w:rsidRDefault="00CB7D21">
      <w:r>
        <w:t>We are</w:t>
      </w:r>
      <w:r w:rsidR="003507E5">
        <w:t xml:space="preserve"> </w:t>
      </w:r>
      <w:r w:rsidR="00DC34A8">
        <w:t xml:space="preserve">pleased </w:t>
      </w:r>
      <w:r w:rsidR="00E0317D">
        <w:t xml:space="preserve">to share details on the </w:t>
      </w:r>
      <w:r w:rsidR="00E0317D" w:rsidRPr="00E0317D">
        <w:t>New York State Health</w:t>
      </w:r>
      <w:r w:rsidR="00366369">
        <w:t>c</w:t>
      </w:r>
      <w:r w:rsidR="00E0317D" w:rsidRPr="00E0317D">
        <w:t>are and Mental Hygiene Worker Bonus Program</w:t>
      </w:r>
      <w:r w:rsidR="00E0317D">
        <w:t xml:space="preserve"> and how it will be made available for qualifying</w:t>
      </w:r>
      <w:r w:rsidR="005F23A7">
        <w:t xml:space="preserve"> associates</w:t>
      </w:r>
      <w:r w:rsidR="00E0317D">
        <w:t>. This bonus marks an important recognition by the State for</w:t>
      </w:r>
      <w:r w:rsidR="00DC34A8">
        <w:t xml:space="preserve"> the tremendous </w:t>
      </w:r>
      <w:r w:rsidR="006D0FED">
        <w:t>impact our health</w:t>
      </w:r>
      <w:r w:rsidR="007A5820">
        <w:t xml:space="preserve"> </w:t>
      </w:r>
      <w:r w:rsidR="006D0FED">
        <w:t>care workers have on our communities, both during the most difficult times of the pandemic and today</w:t>
      </w:r>
      <w:r w:rsidR="00DC34A8">
        <w:t xml:space="preserve">. </w:t>
      </w:r>
      <w:r w:rsidR="00FD67A8">
        <w:t xml:space="preserve">Our frontline health care workers </w:t>
      </w:r>
      <w:r w:rsidR="00DC34A8">
        <w:t xml:space="preserve">are critically important to the care we provide and </w:t>
      </w:r>
      <w:r w:rsidR="004902E9">
        <w:t xml:space="preserve">to </w:t>
      </w:r>
      <w:r w:rsidR="00DC34A8">
        <w:t>the health of our community</w:t>
      </w:r>
      <w:r w:rsidR="009D7361">
        <w:t>,</w:t>
      </w:r>
      <w:r w:rsidR="00DC34A8">
        <w:t xml:space="preserve"> and we are deeply grateful for </w:t>
      </w:r>
      <w:r w:rsidR="00E177B0">
        <w:t xml:space="preserve">each of you and </w:t>
      </w:r>
      <w:r w:rsidR="00DC34A8">
        <w:t xml:space="preserve">all </w:t>
      </w:r>
      <w:r w:rsidR="00E177B0">
        <w:t xml:space="preserve">that </w:t>
      </w:r>
      <w:r w:rsidR="00DC34A8">
        <w:t xml:space="preserve">you do. </w:t>
      </w:r>
    </w:p>
    <w:p w14:paraId="1CE62725" w14:textId="24226A18" w:rsidR="00DC34A8" w:rsidRDefault="00DC34A8">
      <w:r>
        <w:t>Although the</w:t>
      </w:r>
      <w:r w:rsidR="006D0FED">
        <w:t xml:space="preserve"> </w:t>
      </w:r>
      <w:r>
        <w:t>bonus program and its regulations and deadlines are dictated by the State, we</w:t>
      </w:r>
      <w:r w:rsidR="00720FC5">
        <w:t xml:space="preserve"> will</w:t>
      </w:r>
      <w:r>
        <w:t xml:space="preserve"> assist you in </w:t>
      </w:r>
      <w:r w:rsidR="00720FC5">
        <w:t>completing the</w:t>
      </w:r>
      <w:r>
        <w:t xml:space="preserve"> </w:t>
      </w:r>
      <w:r w:rsidR="00366369">
        <w:t xml:space="preserve">required </w:t>
      </w:r>
      <w:r>
        <w:t xml:space="preserve">steps </w:t>
      </w:r>
      <w:r w:rsidR="00366369">
        <w:t>so you may</w:t>
      </w:r>
      <w:r>
        <w:t xml:space="preserve"> </w:t>
      </w:r>
      <w:r w:rsidR="00E0317D">
        <w:t xml:space="preserve">receive </w:t>
      </w:r>
      <w:r>
        <w:t xml:space="preserve">the bonus </w:t>
      </w:r>
      <w:r w:rsidR="009D7361">
        <w:t xml:space="preserve">to which </w:t>
      </w:r>
      <w:r>
        <w:t xml:space="preserve">you </w:t>
      </w:r>
      <w:r w:rsidR="006D0FED">
        <w:t>are entitled.</w:t>
      </w:r>
      <w:r w:rsidR="00BE061F">
        <w:t xml:space="preserve">  </w:t>
      </w:r>
      <w:r w:rsidR="00BE061F" w:rsidRPr="00F4734A">
        <w:rPr>
          <w:b/>
          <w:bCs/>
        </w:rPr>
        <w:t xml:space="preserve">It is important that each </w:t>
      </w:r>
      <w:r w:rsidR="00766085" w:rsidRPr="00F4734A">
        <w:rPr>
          <w:b/>
          <w:bCs/>
        </w:rPr>
        <w:t xml:space="preserve">qualifying </w:t>
      </w:r>
      <w:r w:rsidR="009029E8">
        <w:rPr>
          <w:b/>
          <w:bCs/>
        </w:rPr>
        <w:t>associate</w:t>
      </w:r>
      <w:r w:rsidR="00766085" w:rsidRPr="00F4734A">
        <w:rPr>
          <w:b/>
          <w:bCs/>
        </w:rPr>
        <w:t xml:space="preserve"> complete </w:t>
      </w:r>
      <w:r w:rsidR="005D41A5" w:rsidRPr="00F4734A">
        <w:rPr>
          <w:b/>
          <w:bCs/>
        </w:rPr>
        <w:t>an accurate and truthful</w:t>
      </w:r>
      <w:r w:rsidR="009029E8">
        <w:rPr>
          <w:b/>
          <w:bCs/>
        </w:rPr>
        <w:t xml:space="preserve"> </w:t>
      </w:r>
      <w:r w:rsidR="005D41A5" w:rsidRPr="00F4734A">
        <w:rPr>
          <w:b/>
          <w:bCs/>
        </w:rPr>
        <w:t>attestation</w:t>
      </w:r>
      <w:r w:rsidR="006C0BFD">
        <w:rPr>
          <w:b/>
          <w:bCs/>
        </w:rPr>
        <w:t xml:space="preserve"> -</w:t>
      </w:r>
      <w:r w:rsidR="005D41A5" w:rsidRPr="00F4734A">
        <w:rPr>
          <w:b/>
          <w:bCs/>
        </w:rPr>
        <w:t xml:space="preserve"> failure to do so will result in an </w:t>
      </w:r>
      <w:r w:rsidR="009029E8">
        <w:rPr>
          <w:b/>
          <w:bCs/>
        </w:rPr>
        <w:t>associate</w:t>
      </w:r>
      <w:r w:rsidR="005D41A5" w:rsidRPr="00F4734A">
        <w:rPr>
          <w:b/>
          <w:bCs/>
        </w:rPr>
        <w:t xml:space="preserve"> not receiv</w:t>
      </w:r>
      <w:r w:rsidR="004E1F29" w:rsidRPr="00F4734A">
        <w:rPr>
          <w:b/>
          <w:bCs/>
        </w:rPr>
        <w:t>ing</w:t>
      </w:r>
      <w:r w:rsidR="005D41A5" w:rsidRPr="00F4734A">
        <w:rPr>
          <w:b/>
          <w:bCs/>
        </w:rPr>
        <w:t xml:space="preserve"> a bonus they are otherwise qualified to receive.</w:t>
      </w:r>
      <w:r w:rsidR="005D41A5">
        <w:t xml:space="preserve">  </w:t>
      </w:r>
    </w:p>
    <w:p w14:paraId="5C83D706" w14:textId="2C6F0A9C" w:rsidR="006C51B1" w:rsidRDefault="006C51B1">
      <w:r>
        <w:t>Based on information provided to us by New York State, here are some important facts you should know.</w:t>
      </w:r>
    </w:p>
    <w:p w14:paraId="48DCD5EC" w14:textId="77777777" w:rsidR="006C51B1" w:rsidRPr="006D167F" w:rsidRDefault="006C51B1">
      <w:pPr>
        <w:rPr>
          <w:b/>
          <w:u w:val="single"/>
        </w:rPr>
      </w:pPr>
      <w:r w:rsidRPr="006D167F">
        <w:rPr>
          <w:b/>
          <w:u w:val="single"/>
        </w:rPr>
        <w:t>Eligibility</w:t>
      </w:r>
    </w:p>
    <w:p w14:paraId="5B07A948" w14:textId="1CED9E1F" w:rsidR="006C51B1" w:rsidRDefault="006C51B1" w:rsidP="00F14852">
      <w:pPr>
        <w:pStyle w:val="ListParagraph"/>
        <w:numPr>
          <w:ilvl w:val="0"/>
          <w:numId w:val="7"/>
        </w:numPr>
      </w:pPr>
      <w:r>
        <w:t xml:space="preserve">New York State has determined the </w:t>
      </w:r>
      <w:r w:rsidR="00366369">
        <w:t>‘</w:t>
      </w:r>
      <w:r w:rsidR="00D04E9B">
        <w:t xml:space="preserve">eligible </w:t>
      </w:r>
      <w:r w:rsidR="002649D8">
        <w:t>employers</w:t>
      </w:r>
      <w:r w:rsidR="00366369">
        <w:t>’</w:t>
      </w:r>
      <w:r w:rsidR="002649D8">
        <w:t xml:space="preserve">, </w:t>
      </w:r>
      <w:r w:rsidR="00366369">
        <w:t>(</w:t>
      </w:r>
      <w:r w:rsidR="002649D8">
        <w:t>M.M. Ewing Continuing Care Center and F.F. Thompson Hospital</w:t>
      </w:r>
      <w:r w:rsidR="00366369">
        <w:t>)</w:t>
      </w:r>
      <w:r w:rsidR="002649D8">
        <w:t xml:space="preserve"> including outpatient services</w:t>
      </w:r>
      <w:r>
        <w:t>.</w:t>
      </w:r>
      <w:r w:rsidR="00DC34A8">
        <w:t xml:space="preserve"> </w:t>
      </w:r>
    </w:p>
    <w:p w14:paraId="1A6F2E2B" w14:textId="530AB0E0" w:rsidR="002649D8" w:rsidRDefault="002649D8" w:rsidP="002649D8">
      <w:pPr>
        <w:pStyle w:val="ListParagraph"/>
        <w:numPr>
          <w:ilvl w:val="0"/>
          <w:numId w:val="7"/>
        </w:numPr>
      </w:pPr>
      <w:r>
        <w:t>New York State has determined the eligible titles of workers who may qualify to receive the bonus. You have received this letter because we believe you</w:t>
      </w:r>
      <w:r w:rsidR="00366369">
        <w:t>r position is</w:t>
      </w:r>
      <w:r>
        <w:t xml:space="preserve"> an eligible title.</w:t>
      </w:r>
    </w:p>
    <w:p w14:paraId="4FF6143C" w14:textId="08A62ED8" w:rsidR="00CE575D" w:rsidRPr="00341103" w:rsidRDefault="00CB1986" w:rsidP="00F14852">
      <w:pPr>
        <w:pStyle w:val="ListParagraph"/>
        <w:numPr>
          <w:ilvl w:val="0"/>
          <w:numId w:val="7"/>
        </w:numPr>
      </w:pPr>
      <w:r w:rsidRPr="00CB1986">
        <w:t xml:space="preserve">Qualified </w:t>
      </w:r>
      <w:r w:rsidR="00366369">
        <w:t>associates include</w:t>
      </w:r>
      <w:r w:rsidRPr="00CB1986">
        <w:t xml:space="preserve"> full-time, part-time or</w:t>
      </w:r>
      <w:r w:rsidR="005F23A7">
        <w:t xml:space="preserve"> per diem</w:t>
      </w:r>
      <w:r w:rsidRPr="00CB1986">
        <w:t xml:space="preserve"> </w:t>
      </w:r>
      <w:r w:rsidR="00366369">
        <w:t xml:space="preserve">individuals </w:t>
      </w:r>
      <w:r w:rsidR="00CE575D">
        <w:t xml:space="preserve">who are </w:t>
      </w:r>
      <w:r w:rsidR="00CE575D" w:rsidRPr="000A38AC">
        <w:rPr>
          <w:u w:val="single"/>
        </w:rPr>
        <w:t xml:space="preserve">continuously employed </w:t>
      </w:r>
      <w:r w:rsidR="004D3706" w:rsidRPr="000A38AC">
        <w:rPr>
          <w:u w:val="single"/>
        </w:rPr>
        <w:t xml:space="preserve">by us </w:t>
      </w:r>
      <w:r w:rsidR="00CE575D" w:rsidRPr="000A38AC">
        <w:rPr>
          <w:u w:val="single"/>
        </w:rPr>
        <w:t xml:space="preserve">for the </w:t>
      </w:r>
      <w:r w:rsidR="006F2179" w:rsidRPr="000A38AC">
        <w:rPr>
          <w:u w:val="single"/>
        </w:rPr>
        <w:t xml:space="preserve">entire </w:t>
      </w:r>
      <w:r w:rsidR="00CE575D" w:rsidRPr="000A38AC">
        <w:rPr>
          <w:u w:val="single"/>
        </w:rPr>
        <w:t>duration</w:t>
      </w:r>
      <w:r w:rsidR="00CE575D" w:rsidRPr="00CE575D">
        <w:t xml:space="preserve"> of a</w:t>
      </w:r>
      <w:r w:rsidR="00B5578F">
        <w:t xml:space="preserve"> </w:t>
      </w:r>
      <w:r w:rsidR="008E5052">
        <w:t>“</w:t>
      </w:r>
      <w:r w:rsidR="00CE575D" w:rsidRPr="00CE575D">
        <w:t>vesting period</w:t>
      </w:r>
      <w:r w:rsidR="00D003FA">
        <w:t>.</w:t>
      </w:r>
      <w:r w:rsidR="008E5052">
        <w:t>”</w:t>
      </w:r>
      <w:r w:rsidR="007A5820" w:rsidRPr="007A5820">
        <w:rPr>
          <w:color w:val="FF0000"/>
        </w:rPr>
        <w:t xml:space="preserve"> </w:t>
      </w:r>
      <w:r w:rsidR="007A5820" w:rsidRPr="00341103">
        <w:t>Vesting periods are six-month blocks of time defined by the State.</w:t>
      </w:r>
      <w:r w:rsidR="00E114A3">
        <w:t xml:space="preserve">  If an </w:t>
      </w:r>
      <w:r w:rsidR="00366369">
        <w:t>associate</w:t>
      </w:r>
      <w:r w:rsidR="00E114A3">
        <w:t xml:space="preserve"> is not continuously employed </w:t>
      </w:r>
      <w:r w:rsidR="004E1F29">
        <w:t xml:space="preserve">in an eligible job title </w:t>
      </w:r>
      <w:r w:rsidR="00E114A3">
        <w:t>from the first day of a vesting period through</w:t>
      </w:r>
      <w:r w:rsidR="002D6968">
        <w:t xml:space="preserve"> the last day of </w:t>
      </w:r>
      <w:r w:rsidR="001A7F65">
        <w:t>that</w:t>
      </w:r>
      <w:r w:rsidR="002D6968">
        <w:t xml:space="preserve"> vesting period, that individual is </w:t>
      </w:r>
      <w:r w:rsidR="002D6968" w:rsidRPr="001A7F65">
        <w:rPr>
          <w:b/>
          <w:bCs/>
        </w:rPr>
        <w:t>not</w:t>
      </w:r>
      <w:r w:rsidR="002D6968">
        <w:t xml:space="preserve"> eligible for the HWB.  </w:t>
      </w:r>
    </w:p>
    <w:p w14:paraId="7B04D183" w14:textId="50995C7F" w:rsidR="00285C21" w:rsidRDefault="00A643A8" w:rsidP="00285C21">
      <w:pPr>
        <w:pStyle w:val="ListParagraph"/>
        <w:numPr>
          <w:ilvl w:val="0"/>
          <w:numId w:val="7"/>
        </w:numPr>
      </w:pPr>
      <w:r>
        <w:t xml:space="preserve">To qualify for the </w:t>
      </w:r>
      <w:r w:rsidR="002649D8">
        <w:t>bonus</w:t>
      </w:r>
      <w:r>
        <w:t xml:space="preserve">, </w:t>
      </w:r>
      <w:r w:rsidR="00D7408D" w:rsidRPr="00341103">
        <w:t xml:space="preserve">you </w:t>
      </w:r>
      <w:r w:rsidR="006C51B1" w:rsidRPr="00341103">
        <w:t>must work a</w:t>
      </w:r>
      <w:r w:rsidR="00016A7D">
        <w:t>n</w:t>
      </w:r>
      <w:r w:rsidR="006C51B1" w:rsidRPr="00341103">
        <w:t xml:space="preserve"> </w:t>
      </w:r>
      <w:r w:rsidR="006C51B1" w:rsidRPr="00F4734A">
        <w:rPr>
          <w:b/>
          <w:bCs/>
          <w:i/>
          <w:iCs/>
        </w:rPr>
        <w:t>average</w:t>
      </w:r>
      <w:r w:rsidR="006C51B1" w:rsidRPr="00341103">
        <w:t xml:space="preserve"> of </w:t>
      </w:r>
      <w:r w:rsidR="00016A7D">
        <w:t xml:space="preserve">at least </w:t>
      </w:r>
      <w:r w:rsidR="006C51B1" w:rsidRPr="00341103">
        <w:t xml:space="preserve">20 hours per week during </w:t>
      </w:r>
      <w:r w:rsidR="00016A7D">
        <w:t xml:space="preserve">the entire </w:t>
      </w:r>
      <w:r w:rsidR="006C51B1" w:rsidRPr="00341103">
        <w:t>vesting period</w:t>
      </w:r>
      <w:r w:rsidR="000A38AC">
        <w:t xml:space="preserve"> (all hours for the vesting period divided by 26 weeks).</w:t>
      </w:r>
    </w:p>
    <w:p w14:paraId="0457AD38" w14:textId="5D95A320" w:rsidR="00632114" w:rsidRPr="00341103" w:rsidRDefault="00F72E90" w:rsidP="00285C21">
      <w:pPr>
        <w:pStyle w:val="ListParagraph"/>
        <w:numPr>
          <w:ilvl w:val="0"/>
          <w:numId w:val="7"/>
        </w:numPr>
      </w:pPr>
      <w:r>
        <w:t xml:space="preserve">A health care worker is only eligible for two </w:t>
      </w:r>
      <w:r w:rsidR="004D3706">
        <w:t>bonus</w:t>
      </w:r>
      <w:r w:rsidR="009B0620">
        <w:t xml:space="preserve"> </w:t>
      </w:r>
      <w:r>
        <w:t>payments.</w:t>
      </w:r>
    </w:p>
    <w:p w14:paraId="336C6611" w14:textId="01EB8134" w:rsidR="00285C21" w:rsidRPr="00341103" w:rsidRDefault="00581F1D" w:rsidP="00285C21">
      <w:pPr>
        <w:pStyle w:val="ListParagraph"/>
        <w:numPr>
          <w:ilvl w:val="0"/>
          <w:numId w:val="7"/>
        </w:numPr>
      </w:pPr>
      <w:r>
        <w:t xml:space="preserve">To receive a </w:t>
      </w:r>
      <w:r w:rsidR="004D3706">
        <w:t>bonus</w:t>
      </w:r>
      <w:r>
        <w:t xml:space="preserve">, </w:t>
      </w:r>
      <w:r w:rsidRPr="00341103">
        <w:t xml:space="preserve">the </w:t>
      </w:r>
      <w:r w:rsidR="004F6F1E" w:rsidRPr="00341103">
        <w:t>State requires you to complete an attestation for each vesting period for which you are claiming eligibilit</w:t>
      </w:r>
      <w:r w:rsidR="004D3706">
        <w:t>y</w:t>
      </w:r>
      <w:r w:rsidR="004F6F1E" w:rsidRPr="00341103">
        <w:t xml:space="preserve">. </w:t>
      </w:r>
      <w:r w:rsidR="00285C21" w:rsidRPr="00341103">
        <w:t xml:space="preserve">If you remain in an eligible role, we will contact you after each vesting period with instructions on </w:t>
      </w:r>
      <w:r w:rsidR="005417FE">
        <w:t xml:space="preserve">submitting a qualifying employee attestation </w:t>
      </w:r>
      <w:r w:rsidR="00285C21" w:rsidRPr="00341103">
        <w:t>for each period, until you have attested for the maximum of two vesting periods.</w:t>
      </w:r>
    </w:p>
    <w:p w14:paraId="28CEB04C" w14:textId="65477026" w:rsidR="00285C21" w:rsidRPr="00341103" w:rsidRDefault="00285C21" w:rsidP="00285C21">
      <w:pPr>
        <w:ind w:left="720"/>
      </w:pPr>
      <w:r w:rsidRPr="00341103">
        <w:t xml:space="preserve">Below is the State’s schedule for vesting periods and the deadline for </w:t>
      </w:r>
      <w:r w:rsidR="00FE14B1">
        <w:t xml:space="preserve">when </w:t>
      </w:r>
      <w:r w:rsidRPr="00341103">
        <w:t xml:space="preserve">we must submit </w:t>
      </w:r>
      <w:r w:rsidR="00357B07">
        <w:t xml:space="preserve">a claim </w:t>
      </w:r>
      <w:r w:rsidRPr="00341103">
        <w:t>to New York State</w:t>
      </w:r>
      <w:r w:rsidR="00357B07">
        <w:t xml:space="preserve"> for you</w:t>
      </w:r>
      <w:r w:rsidR="00BA29F8">
        <w:t>r</w:t>
      </w:r>
      <w:r w:rsidR="00357B07">
        <w:t xml:space="preserve"> HWB</w:t>
      </w:r>
      <w:r w:rsidRPr="00341103">
        <w:t>.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880"/>
        <w:gridCol w:w="1905"/>
        <w:gridCol w:w="1890"/>
        <w:gridCol w:w="2160"/>
      </w:tblGrid>
      <w:tr w:rsidR="00285C21" w14:paraId="01C499C3" w14:textId="77777777" w:rsidTr="00285C21">
        <w:tc>
          <w:tcPr>
            <w:tcW w:w="880" w:type="dxa"/>
            <w:shd w:val="clear" w:color="auto" w:fill="9CC2E5" w:themeFill="accent1" w:themeFillTint="99"/>
          </w:tcPr>
          <w:p w14:paraId="1C4E1B05" w14:textId="77777777" w:rsidR="00285C21" w:rsidRDefault="00285C21" w:rsidP="00254D1A">
            <w:pPr>
              <w:jc w:val="center"/>
            </w:pPr>
            <w:r>
              <w:t>Vesting Period</w:t>
            </w:r>
          </w:p>
        </w:tc>
        <w:tc>
          <w:tcPr>
            <w:tcW w:w="1905" w:type="dxa"/>
            <w:shd w:val="clear" w:color="auto" w:fill="9CC2E5" w:themeFill="accent1" w:themeFillTint="99"/>
          </w:tcPr>
          <w:p w14:paraId="7B6F4643" w14:textId="77777777" w:rsidR="00285C21" w:rsidRDefault="00285C21" w:rsidP="00254D1A">
            <w:pPr>
              <w:jc w:val="center"/>
            </w:pPr>
            <w:r>
              <w:t>Vesting Period Start Date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76E76210" w14:textId="77777777" w:rsidR="00285C21" w:rsidRDefault="00285C21" w:rsidP="00254D1A">
            <w:pPr>
              <w:jc w:val="center"/>
            </w:pPr>
            <w:r>
              <w:t>Vesting Period End Date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25A9E50B" w14:textId="77777777" w:rsidR="00285C21" w:rsidRDefault="00285C21" w:rsidP="00254D1A">
            <w:pPr>
              <w:jc w:val="center"/>
            </w:pPr>
            <w:r>
              <w:t>Employer Submission Close Date</w:t>
            </w:r>
          </w:p>
        </w:tc>
      </w:tr>
      <w:tr w:rsidR="00285C21" w14:paraId="1D2D5060" w14:textId="77777777" w:rsidTr="00285C21">
        <w:tc>
          <w:tcPr>
            <w:tcW w:w="880" w:type="dxa"/>
          </w:tcPr>
          <w:p w14:paraId="6E4B7B3E" w14:textId="77777777" w:rsidR="00285C21" w:rsidRDefault="00285C21" w:rsidP="00254D1A">
            <w:pPr>
              <w:jc w:val="center"/>
            </w:pPr>
            <w:r>
              <w:t>1</w:t>
            </w:r>
          </w:p>
        </w:tc>
        <w:tc>
          <w:tcPr>
            <w:tcW w:w="1905" w:type="dxa"/>
          </w:tcPr>
          <w:p w14:paraId="60C3FC93" w14:textId="77777777" w:rsidR="00285C21" w:rsidRDefault="00285C21" w:rsidP="00254D1A">
            <w:r>
              <w:t>Oct. 1, 2021</w:t>
            </w:r>
          </w:p>
        </w:tc>
        <w:tc>
          <w:tcPr>
            <w:tcW w:w="1890" w:type="dxa"/>
          </w:tcPr>
          <w:p w14:paraId="59BD7854" w14:textId="00A65B31" w:rsidR="00285C21" w:rsidRDefault="00285C21" w:rsidP="00254D1A">
            <w:r>
              <w:t xml:space="preserve">March 31, </w:t>
            </w:r>
            <w:r w:rsidR="007E6A58">
              <w:t>2022</w:t>
            </w:r>
          </w:p>
        </w:tc>
        <w:tc>
          <w:tcPr>
            <w:tcW w:w="2160" w:type="dxa"/>
          </w:tcPr>
          <w:p w14:paraId="54BE220E" w14:textId="77777777" w:rsidR="00285C21" w:rsidRDefault="00285C21" w:rsidP="00254D1A">
            <w:r>
              <w:t>Sept. 2, 2022</w:t>
            </w:r>
          </w:p>
        </w:tc>
      </w:tr>
      <w:tr w:rsidR="00285C21" w14:paraId="0B86A801" w14:textId="77777777" w:rsidTr="00285C21">
        <w:tc>
          <w:tcPr>
            <w:tcW w:w="880" w:type="dxa"/>
          </w:tcPr>
          <w:p w14:paraId="6E712BD1" w14:textId="77777777" w:rsidR="00285C21" w:rsidRDefault="00285C21" w:rsidP="00254D1A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14:paraId="06AAF2EE" w14:textId="77777777" w:rsidR="00285C21" w:rsidRDefault="00285C21" w:rsidP="00254D1A">
            <w:r>
              <w:t>April 1, 2022</w:t>
            </w:r>
          </w:p>
        </w:tc>
        <w:tc>
          <w:tcPr>
            <w:tcW w:w="1890" w:type="dxa"/>
          </w:tcPr>
          <w:p w14:paraId="67364DA1" w14:textId="77777777" w:rsidR="00285C21" w:rsidRDefault="00285C21" w:rsidP="00254D1A">
            <w:r>
              <w:t>Sept. 30, 2022</w:t>
            </w:r>
          </w:p>
        </w:tc>
        <w:tc>
          <w:tcPr>
            <w:tcW w:w="2160" w:type="dxa"/>
          </w:tcPr>
          <w:p w14:paraId="294D0A08" w14:textId="77777777" w:rsidR="00285C21" w:rsidRDefault="00285C21" w:rsidP="00254D1A">
            <w:r>
              <w:t>Oct. 31, 2022</w:t>
            </w:r>
          </w:p>
        </w:tc>
      </w:tr>
      <w:tr w:rsidR="00285C21" w14:paraId="423E7A40" w14:textId="77777777" w:rsidTr="00285C21">
        <w:tc>
          <w:tcPr>
            <w:tcW w:w="880" w:type="dxa"/>
          </w:tcPr>
          <w:p w14:paraId="47E7F2B3" w14:textId="77777777" w:rsidR="00285C21" w:rsidRDefault="00285C21" w:rsidP="00254D1A">
            <w:pPr>
              <w:jc w:val="center"/>
            </w:pPr>
            <w:r>
              <w:t>3</w:t>
            </w:r>
          </w:p>
        </w:tc>
        <w:tc>
          <w:tcPr>
            <w:tcW w:w="1905" w:type="dxa"/>
          </w:tcPr>
          <w:p w14:paraId="285689AE" w14:textId="77777777" w:rsidR="00285C21" w:rsidRDefault="00285C21" w:rsidP="00254D1A">
            <w:r>
              <w:t>Oct. 1, 2022</w:t>
            </w:r>
          </w:p>
        </w:tc>
        <w:tc>
          <w:tcPr>
            <w:tcW w:w="1890" w:type="dxa"/>
          </w:tcPr>
          <w:p w14:paraId="1AECAB16" w14:textId="77777777" w:rsidR="00285C21" w:rsidRDefault="00285C21" w:rsidP="00254D1A">
            <w:r>
              <w:t>March 31, 2023</w:t>
            </w:r>
          </w:p>
        </w:tc>
        <w:tc>
          <w:tcPr>
            <w:tcW w:w="2160" w:type="dxa"/>
          </w:tcPr>
          <w:p w14:paraId="046C1A6D" w14:textId="77777777" w:rsidR="00285C21" w:rsidRDefault="00285C21" w:rsidP="00254D1A">
            <w:r>
              <w:t>May 1, 2023</w:t>
            </w:r>
          </w:p>
        </w:tc>
      </w:tr>
      <w:tr w:rsidR="00285C21" w14:paraId="4DAAAD46" w14:textId="77777777" w:rsidTr="00285C21">
        <w:tc>
          <w:tcPr>
            <w:tcW w:w="880" w:type="dxa"/>
          </w:tcPr>
          <w:p w14:paraId="71E4BAFE" w14:textId="77777777" w:rsidR="00285C21" w:rsidRDefault="00285C21" w:rsidP="00254D1A">
            <w:pPr>
              <w:jc w:val="center"/>
            </w:pPr>
            <w:r>
              <w:t>4</w:t>
            </w:r>
          </w:p>
        </w:tc>
        <w:tc>
          <w:tcPr>
            <w:tcW w:w="1905" w:type="dxa"/>
          </w:tcPr>
          <w:p w14:paraId="6EE6A8FE" w14:textId="77777777" w:rsidR="00285C21" w:rsidRDefault="00285C21" w:rsidP="00254D1A">
            <w:r>
              <w:t>April 1, 2023</w:t>
            </w:r>
          </w:p>
        </w:tc>
        <w:tc>
          <w:tcPr>
            <w:tcW w:w="1890" w:type="dxa"/>
          </w:tcPr>
          <w:p w14:paraId="21EE08E5" w14:textId="77777777" w:rsidR="00285C21" w:rsidRDefault="00285C21" w:rsidP="00254D1A">
            <w:r>
              <w:t>Sept. 30, 2023</w:t>
            </w:r>
          </w:p>
        </w:tc>
        <w:tc>
          <w:tcPr>
            <w:tcW w:w="2160" w:type="dxa"/>
          </w:tcPr>
          <w:p w14:paraId="43D7ECF8" w14:textId="77777777" w:rsidR="00285C21" w:rsidRDefault="00285C21" w:rsidP="00254D1A">
            <w:r>
              <w:t>Oct. 31, 2023</w:t>
            </w:r>
          </w:p>
        </w:tc>
      </w:tr>
      <w:tr w:rsidR="00285C21" w14:paraId="6160F582" w14:textId="77777777" w:rsidTr="00285C21">
        <w:tc>
          <w:tcPr>
            <w:tcW w:w="880" w:type="dxa"/>
          </w:tcPr>
          <w:p w14:paraId="27C645B3" w14:textId="77777777" w:rsidR="00285C21" w:rsidRDefault="00285C21" w:rsidP="00254D1A">
            <w:pPr>
              <w:jc w:val="center"/>
            </w:pPr>
            <w:r>
              <w:t>5</w:t>
            </w:r>
          </w:p>
        </w:tc>
        <w:tc>
          <w:tcPr>
            <w:tcW w:w="1905" w:type="dxa"/>
          </w:tcPr>
          <w:p w14:paraId="7C6CB3BF" w14:textId="77777777" w:rsidR="00285C21" w:rsidRDefault="00285C21" w:rsidP="00254D1A">
            <w:r>
              <w:t>Oct. 1, 2023</w:t>
            </w:r>
          </w:p>
        </w:tc>
        <w:tc>
          <w:tcPr>
            <w:tcW w:w="1890" w:type="dxa"/>
          </w:tcPr>
          <w:p w14:paraId="7138B0C7" w14:textId="77777777" w:rsidR="00285C21" w:rsidRDefault="00285C21" w:rsidP="00254D1A">
            <w:r>
              <w:t>March 31, 2024</w:t>
            </w:r>
          </w:p>
        </w:tc>
        <w:tc>
          <w:tcPr>
            <w:tcW w:w="2160" w:type="dxa"/>
          </w:tcPr>
          <w:p w14:paraId="26E2AF04" w14:textId="77777777" w:rsidR="00285C21" w:rsidRDefault="00285C21" w:rsidP="00254D1A">
            <w:r>
              <w:t>May 1, 2024</w:t>
            </w:r>
          </w:p>
        </w:tc>
      </w:tr>
    </w:tbl>
    <w:p w14:paraId="1A8E8D58" w14:textId="77777777" w:rsidR="00285C21" w:rsidRDefault="00285C21" w:rsidP="00285C21">
      <w:pPr>
        <w:pStyle w:val="ListParagraph"/>
      </w:pPr>
    </w:p>
    <w:p w14:paraId="17580B2D" w14:textId="5344C7E6" w:rsidR="004F6F1E" w:rsidRPr="007A5820" w:rsidRDefault="00DF47D4" w:rsidP="007A5820">
      <w:pPr>
        <w:pStyle w:val="ListParagraph"/>
        <w:numPr>
          <w:ilvl w:val="0"/>
          <w:numId w:val="7"/>
        </w:numPr>
      </w:pPr>
      <w:r>
        <w:t xml:space="preserve">In order </w:t>
      </w:r>
      <w:r w:rsidR="0055322A">
        <w:t xml:space="preserve">to receive a </w:t>
      </w:r>
      <w:r w:rsidR="004D3706">
        <w:t>bonus</w:t>
      </w:r>
      <w:r w:rsidR="0055322A">
        <w:t xml:space="preserve">, </w:t>
      </w:r>
      <w:r w:rsidR="0055322A" w:rsidRPr="00341103">
        <w:t xml:space="preserve">your </w:t>
      </w:r>
      <w:r w:rsidR="000F5DB1" w:rsidRPr="00341103">
        <w:t xml:space="preserve">gross base wages, </w:t>
      </w:r>
      <w:r w:rsidR="0055322A">
        <w:t xml:space="preserve">including </w:t>
      </w:r>
      <w:r w:rsidR="000F5DB1" w:rsidRPr="00341103">
        <w:t xml:space="preserve">any </w:t>
      </w:r>
      <w:hyperlink r:id="rId8" w:history="1">
        <w:r w:rsidR="000F5DB1" w:rsidRPr="004D3706">
          <w:rPr>
            <w:rStyle w:val="Hyperlink"/>
            <w:color w:val="auto"/>
          </w:rPr>
          <w:t>shift differentials</w:t>
        </w:r>
      </w:hyperlink>
      <w:r w:rsidR="00491DF6" w:rsidRPr="004D3706">
        <w:rPr>
          <w:rStyle w:val="Hyperlink"/>
          <w:color w:val="auto"/>
        </w:rPr>
        <w:t xml:space="preserve"> and other forms of compensation</w:t>
      </w:r>
      <w:r w:rsidR="000F5DB1" w:rsidRPr="00341103">
        <w:t xml:space="preserve"> for time worked </w:t>
      </w:r>
      <w:r w:rsidR="00747044">
        <w:t xml:space="preserve">(including </w:t>
      </w:r>
      <w:r w:rsidR="00C53C82">
        <w:t>PTO or other</w:t>
      </w:r>
      <w:r w:rsidR="00747044">
        <w:t xml:space="preserve"> paid leaves of absence) </w:t>
      </w:r>
      <w:r w:rsidR="007A5820" w:rsidRPr="00341103">
        <w:t xml:space="preserve">but </w:t>
      </w:r>
      <w:r w:rsidR="00FF2C54">
        <w:t xml:space="preserve">excluding any </w:t>
      </w:r>
      <w:r w:rsidR="007D53FF">
        <w:t xml:space="preserve">overtime </w:t>
      </w:r>
      <w:r w:rsidR="00FF2C54">
        <w:t xml:space="preserve">compensation </w:t>
      </w:r>
      <w:r w:rsidR="007D53FF">
        <w:t xml:space="preserve">or </w:t>
      </w:r>
      <w:r w:rsidR="00C53C82">
        <w:t xml:space="preserve">lump </w:t>
      </w:r>
      <w:r w:rsidR="007D53FF">
        <w:t>bonuses</w:t>
      </w:r>
      <w:r w:rsidR="00FF2C54">
        <w:t>,</w:t>
      </w:r>
      <w:r w:rsidR="007D53FF">
        <w:t xml:space="preserve"> cannot exceed $62,500 </w:t>
      </w:r>
      <w:r w:rsidR="00FF2C54">
        <w:t xml:space="preserve">during </w:t>
      </w:r>
      <w:r w:rsidR="00240211">
        <w:t xml:space="preserve">the </w:t>
      </w:r>
      <w:r w:rsidR="007D53FF">
        <w:t>vesting period.</w:t>
      </w:r>
      <w:r w:rsidR="009D7361">
        <w:t xml:space="preserve">  This </w:t>
      </w:r>
      <w:r w:rsidR="00240211">
        <w:t xml:space="preserve">wage threshold </w:t>
      </w:r>
      <w:r w:rsidR="009D7361">
        <w:t xml:space="preserve">includes wages, salaries, </w:t>
      </w:r>
      <w:r w:rsidR="00240211">
        <w:t xml:space="preserve">and compensation </w:t>
      </w:r>
      <w:r w:rsidR="009D7361">
        <w:t xml:space="preserve">from all employers or contract work, </w:t>
      </w:r>
      <w:r w:rsidR="004F1583">
        <w:t xml:space="preserve">and is not </w:t>
      </w:r>
      <w:r w:rsidR="002323C4">
        <w:t xml:space="preserve">solely </w:t>
      </w:r>
      <w:r w:rsidR="004F1583">
        <w:t xml:space="preserve">your compensation </w:t>
      </w:r>
      <w:r w:rsidR="009D7361">
        <w:t>from</w:t>
      </w:r>
      <w:r w:rsidR="004D3706">
        <w:t xml:space="preserve"> Thompson</w:t>
      </w:r>
      <w:r w:rsidR="009D7361">
        <w:t>.</w:t>
      </w:r>
      <w:r w:rsidR="002323C4">
        <w:t xml:space="preserve">  To</w:t>
      </w:r>
      <w:r w:rsidR="008D6192">
        <w:t xml:space="preserve"> be clear, in order to</w:t>
      </w:r>
      <w:r w:rsidR="002323C4">
        <w:t xml:space="preserve"> qualify for the HWB, you must </w:t>
      </w:r>
      <w:r w:rsidR="004E1F29">
        <w:t>attest</w:t>
      </w:r>
      <w:r w:rsidR="002323C4">
        <w:t xml:space="preserve"> </w:t>
      </w:r>
      <w:r w:rsidR="003C7CA2">
        <w:t>that you have made less than</w:t>
      </w:r>
      <w:r w:rsidR="004E1F29">
        <w:t xml:space="preserve"> or equal to</w:t>
      </w:r>
      <w:r w:rsidR="003C7CA2">
        <w:t xml:space="preserve"> $62,500 </w:t>
      </w:r>
      <w:r w:rsidR="003C7CA2" w:rsidRPr="004D3706">
        <w:rPr>
          <w:u w:val="single"/>
        </w:rPr>
        <w:t>from all sources</w:t>
      </w:r>
      <w:r w:rsidR="003C7CA2">
        <w:t xml:space="preserve"> during the vesting period.</w:t>
      </w:r>
    </w:p>
    <w:p w14:paraId="3A96F080" w14:textId="1584C274" w:rsidR="007D53FF" w:rsidRPr="00C60541" w:rsidRDefault="00AC1661" w:rsidP="00F14852">
      <w:pPr>
        <w:pStyle w:val="ListParagraph"/>
        <w:numPr>
          <w:ilvl w:val="0"/>
          <w:numId w:val="7"/>
        </w:numPr>
      </w:pPr>
      <w:r>
        <w:t xml:space="preserve">To be eligible to receive the HWB, </w:t>
      </w:r>
      <w:r w:rsidRPr="00C60541">
        <w:t xml:space="preserve">you </w:t>
      </w:r>
      <w:r w:rsidR="007D53FF" w:rsidRPr="00C60541">
        <w:t xml:space="preserve">must remain </w:t>
      </w:r>
      <w:r w:rsidR="0040430B">
        <w:t xml:space="preserve">continuously </w:t>
      </w:r>
      <w:r w:rsidR="007D53FF" w:rsidRPr="00C60541">
        <w:t xml:space="preserve">employed </w:t>
      </w:r>
      <w:r w:rsidR="00B41204" w:rsidRPr="00C60541">
        <w:t>by the same</w:t>
      </w:r>
      <w:r w:rsidR="007D53FF" w:rsidRPr="00C60541">
        <w:t xml:space="preserve"> qualifying employer (</w:t>
      </w:r>
      <w:r w:rsidR="004D3706">
        <w:t>Thompson Health</w:t>
      </w:r>
      <w:r w:rsidR="007D53FF" w:rsidRPr="00C60541">
        <w:t xml:space="preserve">) as an </w:t>
      </w:r>
      <w:r w:rsidR="009029E8">
        <w:t>associate</w:t>
      </w:r>
      <w:r w:rsidR="007D53FF" w:rsidRPr="00C60541">
        <w:t xml:space="preserve"> in </w:t>
      </w:r>
      <w:r w:rsidR="003823C1">
        <w:t xml:space="preserve">an </w:t>
      </w:r>
      <w:r w:rsidR="007D53FF" w:rsidRPr="00C60541">
        <w:t xml:space="preserve">eligible </w:t>
      </w:r>
      <w:r w:rsidR="00A62FCE">
        <w:t xml:space="preserve">title </w:t>
      </w:r>
      <w:r w:rsidR="007D53FF" w:rsidRPr="00C60541">
        <w:t xml:space="preserve">during the </w:t>
      </w:r>
      <w:r w:rsidR="0021336A">
        <w:t xml:space="preserve">entire </w:t>
      </w:r>
      <w:r w:rsidR="007D53FF" w:rsidRPr="00C60541">
        <w:t xml:space="preserve">vesting period </w:t>
      </w:r>
      <w:r w:rsidR="0021336A">
        <w:t>and cannot</w:t>
      </w:r>
      <w:r w:rsidR="004E1F29">
        <w:t xml:space="preserve"> leave</w:t>
      </w:r>
      <w:r w:rsidR="0021336A">
        <w:t xml:space="preserve"> </w:t>
      </w:r>
      <w:r w:rsidR="00341103" w:rsidRPr="00C60541">
        <w:t xml:space="preserve">within 30 days </w:t>
      </w:r>
      <w:r w:rsidR="00A774C3">
        <w:t>after</w:t>
      </w:r>
      <w:r w:rsidR="00341103" w:rsidRPr="00C60541">
        <w:t xml:space="preserve"> </w:t>
      </w:r>
      <w:r w:rsidR="004D3706">
        <w:t>Thompson</w:t>
      </w:r>
      <w:r w:rsidR="00341103" w:rsidRPr="00C60541">
        <w:t xml:space="preserve"> receiving the funds from the State.</w:t>
      </w:r>
      <w:r w:rsidR="00341103" w:rsidRPr="00C60541">
        <w:rPr>
          <w:rStyle w:val="CommentReference"/>
        </w:rPr>
        <w:t xml:space="preserve"> </w:t>
      </w:r>
    </w:p>
    <w:p w14:paraId="6C1F5CE8" w14:textId="77777777" w:rsidR="007A5820" w:rsidRDefault="007A5820" w:rsidP="006C51B1">
      <w:pPr>
        <w:rPr>
          <w:b/>
        </w:rPr>
      </w:pPr>
    </w:p>
    <w:p w14:paraId="4B952F59" w14:textId="199B0BC6" w:rsidR="007D53FF" w:rsidRPr="006D167F" w:rsidRDefault="00AA06B5" w:rsidP="006C51B1">
      <w:pPr>
        <w:rPr>
          <w:b/>
          <w:u w:val="single"/>
        </w:rPr>
      </w:pPr>
      <w:r w:rsidRPr="006D167F">
        <w:rPr>
          <w:b/>
          <w:u w:val="single"/>
        </w:rPr>
        <w:t>Vesting and Bonus Amount</w:t>
      </w:r>
    </w:p>
    <w:p w14:paraId="354642CC" w14:textId="537ECC12" w:rsidR="00AA06B5" w:rsidRDefault="00AA06B5" w:rsidP="00AA06B5">
      <w:pPr>
        <w:pStyle w:val="ListParagraph"/>
        <w:numPr>
          <w:ilvl w:val="0"/>
          <w:numId w:val="2"/>
        </w:numPr>
      </w:pPr>
      <w:r>
        <w:t xml:space="preserve">New York State has provided five vesting periods (outlined </w:t>
      </w:r>
      <w:r w:rsidR="001A7F65">
        <w:t>on previous page</w:t>
      </w:r>
      <w:r>
        <w:t xml:space="preserve">), which give you five opportunities </w:t>
      </w:r>
      <w:r w:rsidR="00B41204">
        <w:t>to qualify.</w:t>
      </w:r>
    </w:p>
    <w:p w14:paraId="637D614D" w14:textId="360C6814" w:rsidR="008E5052" w:rsidRDefault="00AA06B5" w:rsidP="00AA06B5">
      <w:pPr>
        <w:pStyle w:val="ListParagraph"/>
        <w:numPr>
          <w:ilvl w:val="0"/>
          <w:numId w:val="2"/>
        </w:numPr>
      </w:pPr>
      <w:r>
        <w:t>The amount of your bonus will be determined by the hours you worked within a vesting period.</w:t>
      </w:r>
      <w:r w:rsidR="00D003FA">
        <w:t xml:space="preserve"> </w:t>
      </w:r>
      <w:r w:rsidR="001A7F65">
        <w:t>V</w:t>
      </w:r>
      <w:r w:rsidR="00D003FA">
        <w:t xml:space="preserve">isit the </w:t>
      </w:r>
      <w:hyperlink r:id="rId9" w:anchor="titles" w:history="1">
        <w:r w:rsidR="00D003FA" w:rsidRPr="00D003FA">
          <w:rPr>
            <w:rStyle w:val="Hyperlink"/>
          </w:rPr>
          <w:t>S</w:t>
        </w:r>
        <w:r w:rsidR="008E5052" w:rsidRPr="00D003FA">
          <w:rPr>
            <w:rStyle w:val="Hyperlink"/>
          </w:rPr>
          <w:t>tate’s website</w:t>
        </w:r>
      </w:hyperlink>
      <w:r w:rsidR="008E5052">
        <w:t xml:space="preserve"> for more details on bonus amounts.</w:t>
      </w:r>
    </w:p>
    <w:p w14:paraId="5C0AB4F7" w14:textId="368661A7" w:rsidR="008E5052" w:rsidRDefault="00AA06B5" w:rsidP="008E5052">
      <w:pPr>
        <w:pStyle w:val="ListParagraph"/>
        <w:numPr>
          <w:ilvl w:val="0"/>
          <w:numId w:val="2"/>
        </w:numPr>
      </w:pPr>
      <w:r>
        <w:t>You may participate in up to two vesting periods</w:t>
      </w:r>
      <w:r w:rsidR="008E5052">
        <w:t xml:space="preserve">; </w:t>
      </w:r>
      <w:r w:rsidR="00D003FA">
        <w:t>t</w:t>
      </w:r>
      <w:r>
        <w:t xml:space="preserve">he maximum </w:t>
      </w:r>
      <w:r w:rsidR="004D3706">
        <w:t xml:space="preserve">total </w:t>
      </w:r>
      <w:r>
        <w:t>bonus through the State’s program is $3,000.</w:t>
      </w:r>
      <w:r w:rsidR="008E5052">
        <w:t xml:space="preserve"> </w:t>
      </w:r>
    </w:p>
    <w:p w14:paraId="21CD5A73" w14:textId="5FF9C96F" w:rsidR="00AA06B5" w:rsidRPr="006D167F" w:rsidRDefault="00AA06B5" w:rsidP="00AA06B5">
      <w:pPr>
        <w:rPr>
          <w:u w:val="single"/>
        </w:rPr>
      </w:pPr>
      <w:r w:rsidRPr="006D167F">
        <w:rPr>
          <w:b/>
          <w:u w:val="single"/>
        </w:rPr>
        <w:t xml:space="preserve">Attesting </w:t>
      </w:r>
      <w:r w:rsidR="00842714" w:rsidRPr="006D167F">
        <w:rPr>
          <w:b/>
          <w:u w:val="single"/>
        </w:rPr>
        <w:t>to Your Eligibility</w:t>
      </w:r>
    </w:p>
    <w:p w14:paraId="5E13A4C6" w14:textId="661741D6" w:rsidR="00AA06B5" w:rsidRDefault="00AA06B5" w:rsidP="00AA06B5">
      <w:r>
        <w:t xml:space="preserve">New York State has outlined a multi-step process that requires the participation of both </w:t>
      </w:r>
      <w:r w:rsidR="004D3706">
        <w:t>Thompson</w:t>
      </w:r>
      <w:r w:rsidR="002649D8">
        <w:t xml:space="preserve"> Health</w:t>
      </w:r>
      <w:r>
        <w:t xml:space="preserve"> and each eligible </w:t>
      </w:r>
      <w:r w:rsidR="005656C0">
        <w:t>associate</w:t>
      </w:r>
      <w:r>
        <w:t>. In general, these steps are:</w:t>
      </w:r>
    </w:p>
    <w:p w14:paraId="32A52635" w14:textId="40A0B6A0" w:rsidR="008E5052" w:rsidRPr="00341103" w:rsidRDefault="004D3706" w:rsidP="00775D2B">
      <w:pPr>
        <w:pStyle w:val="ListParagraph"/>
        <w:numPr>
          <w:ilvl w:val="0"/>
          <w:numId w:val="3"/>
        </w:numPr>
      </w:pPr>
      <w:r>
        <w:t>We</w:t>
      </w:r>
      <w:r w:rsidR="00AA06B5" w:rsidRPr="00341103">
        <w:t xml:space="preserve"> must use </w:t>
      </w:r>
      <w:r w:rsidR="002649D8">
        <w:t xml:space="preserve">our employment </w:t>
      </w:r>
      <w:r w:rsidR="00AA06B5" w:rsidRPr="00341103">
        <w:t xml:space="preserve">records to identify eligible </w:t>
      </w:r>
      <w:r w:rsidR="002649D8">
        <w:t>associates.</w:t>
      </w:r>
    </w:p>
    <w:p w14:paraId="04B796C6" w14:textId="7B8061DE" w:rsidR="00AA06B5" w:rsidRPr="00341103" w:rsidRDefault="00AA06B5" w:rsidP="00775D2B">
      <w:pPr>
        <w:pStyle w:val="ListParagraph"/>
        <w:numPr>
          <w:ilvl w:val="0"/>
          <w:numId w:val="3"/>
        </w:numPr>
      </w:pPr>
      <w:r w:rsidRPr="00341103">
        <w:t xml:space="preserve">Eligible </w:t>
      </w:r>
      <w:r w:rsidR="002649D8">
        <w:t>associates</w:t>
      </w:r>
      <w:r w:rsidRPr="00341103">
        <w:t xml:space="preserve"> must </w:t>
      </w:r>
      <w:r w:rsidR="00775D2B" w:rsidRPr="00341103">
        <w:t xml:space="preserve">verify </w:t>
      </w:r>
      <w:r w:rsidR="00414656" w:rsidRPr="00341103">
        <w:t>their eligibility</w:t>
      </w:r>
      <w:r w:rsidRPr="00341103">
        <w:t xml:space="preserve"> by completing the State’s attestation form </w:t>
      </w:r>
      <w:r w:rsidR="00775D2B" w:rsidRPr="00341103">
        <w:t>by the deadline for each vesting period.</w:t>
      </w:r>
      <w:r w:rsidR="008E5052" w:rsidRPr="00341103">
        <w:t xml:space="preserve"> </w:t>
      </w:r>
    </w:p>
    <w:p w14:paraId="121FE367" w14:textId="34DCE5EE" w:rsidR="00775D2B" w:rsidRDefault="00775D2B" w:rsidP="00775D2B">
      <w:pPr>
        <w:pStyle w:val="ListParagraph"/>
        <w:numPr>
          <w:ilvl w:val="0"/>
          <w:numId w:val="3"/>
        </w:numPr>
      </w:pPr>
      <w:r>
        <w:t>Th</w:t>
      </w:r>
      <w:r w:rsidR="004D3706">
        <w:t>ompson Health</w:t>
      </w:r>
      <w:r>
        <w:t xml:space="preserve"> submits the information to the State for review</w:t>
      </w:r>
      <w:r w:rsidR="008E5052">
        <w:t xml:space="preserve"> </w:t>
      </w:r>
      <w:r>
        <w:t xml:space="preserve">and processing. The State has not yet indicated </w:t>
      </w:r>
      <w:r w:rsidR="00F14852">
        <w:t xml:space="preserve">how long this process will take </w:t>
      </w:r>
      <w:r>
        <w:t xml:space="preserve">but, when it is complete, </w:t>
      </w:r>
      <w:r w:rsidR="00414656">
        <w:t xml:space="preserve">they </w:t>
      </w:r>
      <w:r>
        <w:t xml:space="preserve">will release the funds </w:t>
      </w:r>
      <w:r w:rsidR="00842714">
        <w:t xml:space="preserve">directly </w:t>
      </w:r>
      <w:r>
        <w:t xml:space="preserve">to </w:t>
      </w:r>
      <w:r w:rsidR="004D3706">
        <w:t>Thompson Health</w:t>
      </w:r>
      <w:r>
        <w:t>.</w:t>
      </w:r>
    </w:p>
    <w:p w14:paraId="6C63A61B" w14:textId="790AA2B4" w:rsidR="00775D2B" w:rsidRPr="00AA06B5" w:rsidRDefault="00775D2B" w:rsidP="00775D2B">
      <w:pPr>
        <w:pStyle w:val="ListParagraph"/>
        <w:numPr>
          <w:ilvl w:val="0"/>
          <w:numId w:val="3"/>
        </w:numPr>
      </w:pPr>
      <w:r>
        <w:t>Th</w:t>
      </w:r>
      <w:r w:rsidR="004D3706">
        <w:t>ompson</w:t>
      </w:r>
      <w:r>
        <w:t xml:space="preserve"> must distribute the bonuses to </w:t>
      </w:r>
      <w:r w:rsidR="009029E8">
        <w:t>associates</w:t>
      </w:r>
      <w:r>
        <w:t xml:space="preserve"> within 30 days of receiving the funds from the State.</w:t>
      </w:r>
    </w:p>
    <w:p w14:paraId="7A56DEED" w14:textId="50191477" w:rsidR="00775D2B" w:rsidRPr="006D167F" w:rsidRDefault="00775D2B" w:rsidP="00AA06B5">
      <w:pPr>
        <w:rPr>
          <w:b/>
          <w:u w:val="single"/>
        </w:rPr>
      </w:pPr>
      <w:r w:rsidRPr="006D167F">
        <w:rPr>
          <w:b/>
          <w:u w:val="single"/>
        </w:rPr>
        <w:t>Action You Need to Take Now</w:t>
      </w:r>
    </w:p>
    <w:p w14:paraId="7890F78F" w14:textId="6B2EC872" w:rsidR="00521DE7" w:rsidRPr="00341103" w:rsidRDefault="00775D2B" w:rsidP="00521DE7">
      <w:pPr>
        <w:rPr>
          <w:color w:val="FF0000"/>
        </w:rPr>
      </w:pPr>
      <w:r>
        <w:t xml:space="preserve">If you are eligible for a bonus for the </w:t>
      </w:r>
      <w:r w:rsidR="00087692">
        <w:t>second</w:t>
      </w:r>
      <w:r>
        <w:t xml:space="preserve"> vesting </w:t>
      </w:r>
      <w:r w:rsidRPr="00341103">
        <w:t>period</w:t>
      </w:r>
      <w:r w:rsidR="00087692">
        <w:t xml:space="preserve"> </w:t>
      </w:r>
      <w:r w:rsidRPr="00341103">
        <w:t>(</w:t>
      </w:r>
      <w:r w:rsidR="00087692">
        <w:t>April 1</w:t>
      </w:r>
      <w:r w:rsidRPr="00341103">
        <w:t>, 202</w:t>
      </w:r>
      <w:r w:rsidR="00087692">
        <w:t>2</w:t>
      </w:r>
      <w:r w:rsidRPr="00341103">
        <w:t xml:space="preserve"> to </w:t>
      </w:r>
      <w:r w:rsidR="00087692">
        <w:t>September 30</w:t>
      </w:r>
      <w:r w:rsidRPr="00341103">
        <w:t xml:space="preserve">, 2022), you must act quickly </w:t>
      </w:r>
      <w:r w:rsidR="00F14852" w:rsidRPr="00341103">
        <w:t xml:space="preserve">so we can </w:t>
      </w:r>
      <w:r w:rsidRPr="00341103">
        <w:t>meet New York State’s deadline</w:t>
      </w:r>
      <w:r w:rsidR="001A7F65">
        <w:t xml:space="preserve"> </w:t>
      </w:r>
      <w:r w:rsidR="00521DE7" w:rsidRPr="00341103">
        <w:t>(</w:t>
      </w:r>
      <w:r w:rsidR="001A7F65">
        <w:t>w</w:t>
      </w:r>
      <w:r w:rsidR="00521DE7" w:rsidRPr="00341103">
        <w:t>e will contact people in eligible roles separately after each New York State vesting period with instructions and deadlines for attesting for those periods</w:t>
      </w:r>
      <w:r w:rsidR="007F7651">
        <w:t>; see table listed under Eligibility section above for submission dates</w:t>
      </w:r>
      <w:r w:rsidR="00521DE7" w:rsidRPr="00341103">
        <w:t>)</w:t>
      </w:r>
      <w:r w:rsidR="001A7F65">
        <w:t>.</w:t>
      </w:r>
    </w:p>
    <w:p w14:paraId="7E5FA0B0" w14:textId="4726DD3A" w:rsidR="00775D2B" w:rsidRPr="00341103" w:rsidRDefault="004D3706" w:rsidP="00521DE7">
      <w:r>
        <w:t>Thompson</w:t>
      </w:r>
      <w:r w:rsidR="00775D2B" w:rsidRPr="00341103">
        <w:t xml:space="preserve"> will run a report of all </w:t>
      </w:r>
      <w:r>
        <w:t>associates</w:t>
      </w:r>
      <w:r w:rsidR="00775D2B" w:rsidRPr="00341103">
        <w:t xml:space="preserve"> who meet the qualifications described above for the </w:t>
      </w:r>
      <w:r w:rsidR="000A38AC">
        <w:t>second</w:t>
      </w:r>
      <w:r w:rsidR="00775D2B" w:rsidRPr="00341103">
        <w:t xml:space="preserve"> vesting period.</w:t>
      </w:r>
    </w:p>
    <w:p w14:paraId="35A48409" w14:textId="3E0CB430" w:rsidR="00775D2B" w:rsidRPr="00AF3C19" w:rsidRDefault="00775D2B" w:rsidP="00775D2B">
      <w:pPr>
        <w:pStyle w:val="ListParagraph"/>
        <w:numPr>
          <w:ilvl w:val="0"/>
          <w:numId w:val="5"/>
        </w:numPr>
      </w:pPr>
      <w:r w:rsidRPr="00341103">
        <w:t xml:space="preserve">Between </w:t>
      </w:r>
      <w:r w:rsidR="000A38AC">
        <w:t>October 17</w:t>
      </w:r>
      <w:r w:rsidR="000A38AC" w:rsidRPr="000A38AC">
        <w:rPr>
          <w:vertAlign w:val="superscript"/>
        </w:rPr>
        <w:t>th</w:t>
      </w:r>
      <w:r w:rsidR="000A38AC">
        <w:t xml:space="preserve"> and October 27th</w:t>
      </w:r>
      <w:r w:rsidR="009D7361">
        <w:t>, 2022</w:t>
      </w:r>
      <w:r w:rsidRPr="00341103">
        <w:t>, you must</w:t>
      </w:r>
      <w:r w:rsidR="002649D8">
        <w:t xml:space="preserve"> complete the attestation form</w:t>
      </w:r>
      <w:r w:rsidR="00F0304B">
        <w:t xml:space="preserve"> appropriate for the corporation where work occurs (CCC or Hospital).</w:t>
      </w:r>
    </w:p>
    <w:p w14:paraId="6DB1FC26" w14:textId="71E4B139" w:rsidR="00AF3C19" w:rsidRDefault="004E1F29" w:rsidP="004D3706">
      <w:pPr>
        <w:pStyle w:val="ListParagraph"/>
        <w:numPr>
          <w:ilvl w:val="1"/>
          <w:numId w:val="5"/>
        </w:numPr>
      </w:pPr>
      <w:r>
        <w:t>E</w:t>
      </w:r>
      <w:r w:rsidR="00775D2B" w:rsidRPr="00341103">
        <w:t xml:space="preserve">ligible </w:t>
      </w:r>
      <w:r w:rsidR="009029E8">
        <w:t>associate</w:t>
      </w:r>
      <w:r w:rsidR="00775D2B" w:rsidRPr="00341103">
        <w:t xml:space="preserve">s will receive an email </w:t>
      </w:r>
      <w:r w:rsidR="000A38AC">
        <w:t>invitation</w:t>
      </w:r>
      <w:r w:rsidR="00AF3C19">
        <w:t xml:space="preserve"> </w:t>
      </w:r>
      <w:r w:rsidR="000A38AC">
        <w:t>at their Thompson email.  This invitation will include a DocuSign link where associates must attest or decline to attest, and will be required to e-sign within the DocuSign platform.</w:t>
      </w:r>
    </w:p>
    <w:p w14:paraId="73C4E5FB" w14:textId="2F773767" w:rsidR="00AF3C19" w:rsidRDefault="00AF3C19" w:rsidP="00775D2B">
      <w:pPr>
        <w:pStyle w:val="ListParagraph"/>
        <w:numPr>
          <w:ilvl w:val="1"/>
          <w:numId w:val="5"/>
        </w:numPr>
      </w:pPr>
      <w:r>
        <w:t>We will work with managers to connect with those on leave who need to attest.</w:t>
      </w:r>
    </w:p>
    <w:p w14:paraId="0B9526D0" w14:textId="711C7D7E" w:rsidR="00F0304B" w:rsidRDefault="00F0304B" w:rsidP="00775D2B">
      <w:pPr>
        <w:pStyle w:val="ListParagraph"/>
        <w:numPr>
          <w:ilvl w:val="1"/>
          <w:numId w:val="5"/>
        </w:numPr>
      </w:pPr>
      <w:r>
        <w:t xml:space="preserve">We need to know if you will be declining or unable to attest – we are not aware of </w:t>
      </w:r>
      <w:r w:rsidR="00A83841">
        <w:t xml:space="preserve">your </w:t>
      </w:r>
      <w:r>
        <w:t>income from all sources and this is why the state requires the employee to attest.</w:t>
      </w:r>
    </w:p>
    <w:p w14:paraId="4DF290BD" w14:textId="178FDFE6" w:rsidR="00775D2B" w:rsidRPr="00341103" w:rsidRDefault="00775D2B" w:rsidP="00775D2B">
      <w:pPr>
        <w:pStyle w:val="ListParagraph"/>
        <w:numPr>
          <w:ilvl w:val="1"/>
          <w:numId w:val="5"/>
        </w:numPr>
      </w:pPr>
      <w:r w:rsidRPr="00341103">
        <w:t xml:space="preserve">IMPORTANT: Per New York State, we </w:t>
      </w:r>
      <w:r w:rsidR="00F0304B">
        <w:t>will</w:t>
      </w:r>
      <w:r w:rsidRPr="00341103">
        <w:t xml:space="preserve"> only </w:t>
      </w:r>
      <w:r w:rsidR="00464513" w:rsidRPr="00341103">
        <w:t xml:space="preserve">submit </w:t>
      </w:r>
      <w:r w:rsidRPr="00341103">
        <w:t xml:space="preserve">the names of </w:t>
      </w:r>
      <w:r w:rsidR="002649D8">
        <w:t>associates</w:t>
      </w:r>
      <w:r w:rsidRPr="00341103">
        <w:t xml:space="preserve"> who have completed the attestation process</w:t>
      </w:r>
      <w:r w:rsidR="00464513" w:rsidRPr="00341103">
        <w:t xml:space="preserve"> by the deadline (</w:t>
      </w:r>
      <w:r w:rsidR="001A7F65">
        <w:t>i</w:t>
      </w:r>
      <w:r w:rsidR="00464513" w:rsidRPr="00341103">
        <w:t>f you miss</w:t>
      </w:r>
      <w:r w:rsidR="000A38AC">
        <w:t>ed</w:t>
      </w:r>
      <w:r w:rsidR="00464513" w:rsidRPr="00341103">
        <w:t xml:space="preserve"> the deadline for the first vesting period, you may still be eligible </w:t>
      </w:r>
      <w:r w:rsidR="000A38AC">
        <w:t>to submit now, but we do not have any indication that this arrangement will continue</w:t>
      </w:r>
      <w:r w:rsidR="00464513" w:rsidRPr="00341103">
        <w:t>)</w:t>
      </w:r>
      <w:r w:rsidR="001A7F65">
        <w:t>.</w:t>
      </w:r>
    </w:p>
    <w:p w14:paraId="6DA7777A" w14:textId="7C921DEB" w:rsidR="00775D2B" w:rsidRPr="00341103" w:rsidRDefault="00775D2B" w:rsidP="004D3706">
      <w:pPr>
        <w:pStyle w:val="ListParagraph"/>
        <w:ind w:left="1440"/>
      </w:pPr>
      <w:r w:rsidRPr="00341103">
        <w:t xml:space="preserve"> </w:t>
      </w:r>
    </w:p>
    <w:p w14:paraId="4C9F74D6" w14:textId="6C5997C9" w:rsidR="00775D2B" w:rsidRDefault="00A774C3" w:rsidP="00775D2B">
      <w:pPr>
        <w:pStyle w:val="ListParagraph"/>
        <w:numPr>
          <w:ilvl w:val="0"/>
          <w:numId w:val="5"/>
        </w:numPr>
      </w:pPr>
      <w:r>
        <w:t>By</w:t>
      </w:r>
      <w:r w:rsidR="00775D2B">
        <w:t xml:space="preserve"> </w:t>
      </w:r>
      <w:r w:rsidR="000A38AC">
        <w:t>October 31</w:t>
      </w:r>
      <w:r w:rsidR="009D7361">
        <w:t>, 2022</w:t>
      </w:r>
      <w:r w:rsidR="00775D2B">
        <w:t xml:space="preserve">, </w:t>
      </w:r>
      <w:r w:rsidR="004D3706">
        <w:t>Thompson</w:t>
      </w:r>
      <w:r w:rsidR="00775D2B">
        <w:t xml:space="preserve"> will submit the list of all eligible</w:t>
      </w:r>
      <w:r w:rsidR="005656C0">
        <w:t xml:space="preserve"> associates</w:t>
      </w:r>
      <w:r w:rsidR="00775D2B">
        <w:t xml:space="preserve"> </w:t>
      </w:r>
      <w:r w:rsidR="00775D2B" w:rsidRPr="00E77528">
        <w:rPr>
          <w:i/>
        </w:rPr>
        <w:t>who have</w:t>
      </w:r>
      <w:r w:rsidR="00464513">
        <w:rPr>
          <w:i/>
        </w:rPr>
        <w:t xml:space="preserve"> </w:t>
      </w:r>
      <w:r w:rsidR="00775D2B" w:rsidRPr="00E77528">
        <w:rPr>
          <w:i/>
        </w:rPr>
        <w:t>completed the attestation process</w:t>
      </w:r>
      <w:r w:rsidR="00DD209E">
        <w:t xml:space="preserve"> for the </w:t>
      </w:r>
      <w:r w:rsidR="000A38AC">
        <w:t>second</w:t>
      </w:r>
      <w:r w:rsidR="00DD209E">
        <w:t xml:space="preserve"> vesting period</w:t>
      </w:r>
      <w:r w:rsidR="002846B8">
        <w:t xml:space="preserve"> to New York State</w:t>
      </w:r>
      <w:r w:rsidR="00DD209E">
        <w:t>.</w:t>
      </w:r>
    </w:p>
    <w:p w14:paraId="7B040359" w14:textId="7F0A1A30" w:rsidR="00720FC5" w:rsidRDefault="00775D2B" w:rsidP="00775D2B">
      <w:pPr>
        <w:pStyle w:val="ListParagraph"/>
        <w:numPr>
          <w:ilvl w:val="0"/>
          <w:numId w:val="5"/>
        </w:numPr>
      </w:pPr>
      <w:r>
        <w:t xml:space="preserve">Once the funds are received, </w:t>
      </w:r>
      <w:r w:rsidR="004D3706">
        <w:t>Thompson</w:t>
      </w:r>
      <w:r>
        <w:t xml:space="preserve"> will work as quickly as possible to distribute the </w:t>
      </w:r>
      <w:r w:rsidR="00464513">
        <w:t>bonuses</w:t>
      </w:r>
      <w:r>
        <w:t xml:space="preserve"> to </w:t>
      </w:r>
      <w:r w:rsidR="00F0304B">
        <w:t xml:space="preserve">active </w:t>
      </w:r>
      <w:r w:rsidR="005656C0">
        <w:t>associates</w:t>
      </w:r>
      <w:r w:rsidR="00464513">
        <w:t xml:space="preserve"> </w:t>
      </w:r>
      <w:r>
        <w:t xml:space="preserve">within </w:t>
      </w:r>
      <w:r w:rsidR="004D3706">
        <w:t xml:space="preserve">the required </w:t>
      </w:r>
      <w:r>
        <w:t xml:space="preserve">30 days of receipt of the </w:t>
      </w:r>
      <w:r w:rsidR="004D3706">
        <w:t>State funding</w:t>
      </w:r>
      <w:r>
        <w:t>.</w:t>
      </w:r>
    </w:p>
    <w:p w14:paraId="2478223E" w14:textId="3E9896A2" w:rsidR="00720FC5" w:rsidRDefault="00775D2B" w:rsidP="007A5820">
      <w:pPr>
        <w:pStyle w:val="ListParagraph"/>
      </w:pPr>
      <w:r>
        <w:t xml:space="preserve"> </w:t>
      </w:r>
    </w:p>
    <w:p w14:paraId="4DD30B9B" w14:textId="37BC2665" w:rsidR="00720FC5" w:rsidRDefault="00720FC5" w:rsidP="007A5820">
      <w:pPr>
        <w:pStyle w:val="ListParagraph"/>
        <w:ind w:left="0"/>
      </w:pPr>
      <w:r>
        <w:t xml:space="preserve">New York State’s process for determining who is eligible and how they can claim and receive their bonus is </w:t>
      </w:r>
      <w:r w:rsidR="00744158">
        <w:t xml:space="preserve">very </w:t>
      </w:r>
      <w:r>
        <w:t xml:space="preserve">complex. For the most up-to-date information on the program, we urge you to visit the </w:t>
      </w:r>
      <w:hyperlink r:id="rId10" w:anchor="titles" w:history="1">
        <w:r w:rsidR="001A7F65">
          <w:rPr>
            <w:rStyle w:val="Hyperlink"/>
          </w:rPr>
          <w:t>New York State Healthcare and Mental Hygiene Worker Bonus Program website</w:t>
        </w:r>
      </w:hyperlink>
      <w:r>
        <w:t xml:space="preserve">. </w:t>
      </w:r>
    </w:p>
    <w:p w14:paraId="14408C63" w14:textId="5E1A754D" w:rsidR="00775D2B" w:rsidRDefault="00775D2B" w:rsidP="000475BD">
      <w:pPr>
        <w:rPr>
          <w:b/>
          <w:sz w:val="28"/>
          <w:szCs w:val="28"/>
        </w:rPr>
      </w:pPr>
    </w:p>
    <w:p w14:paraId="474CF2A3" w14:textId="77777777" w:rsidR="004F6F1E" w:rsidRPr="000475BD" w:rsidRDefault="004F6F1E" w:rsidP="000475BD">
      <w:pPr>
        <w:rPr>
          <w:b/>
          <w:sz w:val="28"/>
          <w:szCs w:val="28"/>
        </w:rPr>
      </w:pPr>
    </w:p>
    <w:sectPr w:rsidR="004F6F1E" w:rsidRPr="000475BD" w:rsidSect="0008769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4A17" w14:textId="77777777" w:rsidR="002F0495" w:rsidRDefault="002F0495" w:rsidP="0055322A">
      <w:pPr>
        <w:spacing w:after="0" w:line="240" w:lineRule="auto"/>
      </w:pPr>
      <w:r>
        <w:separator/>
      </w:r>
    </w:p>
  </w:endnote>
  <w:endnote w:type="continuationSeparator" w:id="0">
    <w:p w14:paraId="77B0B40B" w14:textId="77777777" w:rsidR="002F0495" w:rsidRDefault="002F0495" w:rsidP="005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5ADB" w14:textId="77777777" w:rsidR="002F0495" w:rsidRDefault="002F0495" w:rsidP="0055322A">
      <w:pPr>
        <w:spacing w:after="0" w:line="240" w:lineRule="auto"/>
      </w:pPr>
      <w:r>
        <w:separator/>
      </w:r>
    </w:p>
  </w:footnote>
  <w:footnote w:type="continuationSeparator" w:id="0">
    <w:p w14:paraId="4BC98866" w14:textId="77777777" w:rsidR="002F0495" w:rsidRDefault="002F0495" w:rsidP="0055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558F"/>
    <w:multiLevelType w:val="hybridMultilevel"/>
    <w:tmpl w:val="36D8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533B"/>
    <w:multiLevelType w:val="hybridMultilevel"/>
    <w:tmpl w:val="A334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93979"/>
    <w:multiLevelType w:val="hybridMultilevel"/>
    <w:tmpl w:val="413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31DF5"/>
    <w:multiLevelType w:val="hybridMultilevel"/>
    <w:tmpl w:val="E096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4C5"/>
    <w:multiLevelType w:val="hybridMultilevel"/>
    <w:tmpl w:val="6350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332C"/>
    <w:multiLevelType w:val="hybridMultilevel"/>
    <w:tmpl w:val="939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877B3"/>
    <w:multiLevelType w:val="hybridMultilevel"/>
    <w:tmpl w:val="C02A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D74E8"/>
    <w:multiLevelType w:val="hybridMultilevel"/>
    <w:tmpl w:val="6858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A8"/>
    <w:rsid w:val="00013993"/>
    <w:rsid w:val="00016A7D"/>
    <w:rsid w:val="000475BD"/>
    <w:rsid w:val="000612BA"/>
    <w:rsid w:val="00087692"/>
    <w:rsid w:val="000A38AC"/>
    <w:rsid w:val="000B5A13"/>
    <w:rsid w:val="000C7A63"/>
    <w:rsid w:val="000F190D"/>
    <w:rsid w:val="000F5DB1"/>
    <w:rsid w:val="00144871"/>
    <w:rsid w:val="00176E8F"/>
    <w:rsid w:val="0019206E"/>
    <w:rsid w:val="001A7F65"/>
    <w:rsid w:val="001D2D61"/>
    <w:rsid w:val="0021336A"/>
    <w:rsid w:val="0022276C"/>
    <w:rsid w:val="002323C4"/>
    <w:rsid w:val="00240211"/>
    <w:rsid w:val="002649D8"/>
    <w:rsid w:val="00270F05"/>
    <w:rsid w:val="002846B8"/>
    <w:rsid w:val="00285C21"/>
    <w:rsid w:val="002D6968"/>
    <w:rsid w:val="002F0495"/>
    <w:rsid w:val="003100B6"/>
    <w:rsid w:val="00341103"/>
    <w:rsid w:val="003507E5"/>
    <w:rsid w:val="00357B07"/>
    <w:rsid w:val="00366369"/>
    <w:rsid w:val="003823C1"/>
    <w:rsid w:val="003C7CA2"/>
    <w:rsid w:val="0040430B"/>
    <w:rsid w:val="00414656"/>
    <w:rsid w:val="0046043C"/>
    <w:rsid w:val="00464513"/>
    <w:rsid w:val="004902E9"/>
    <w:rsid w:val="00491DF6"/>
    <w:rsid w:val="004978F8"/>
    <w:rsid w:val="004D0709"/>
    <w:rsid w:val="004D3706"/>
    <w:rsid w:val="004D5D36"/>
    <w:rsid w:val="004E1F29"/>
    <w:rsid w:val="004F1583"/>
    <w:rsid w:val="004F6F1E"/>
    <w:rsid w:val="00521DE7"/>
    <w:rsid w:val="005417FE"/>
    <w:rsid w:val="00545027"/>
    <w:rsid w:val="0055322A"/>
    <w:rsid w:val="005656C0"/>
    <w:rsid w:val="00575450"/>
    <w:rsid w:val="00581F1D"/>
    <w:rsid w:val="00597B89"/>
    <w:rsid w:val="005B09F5"/>
    <w:rsid w:val="005B240A"/>
    <w:rsid w:val="005C5933"/>
    <w:rsid w:val="005D41A5"/>
    <w:rsid w:val="005F23A7"/>
    <w:rsid w:val="00632114"/>
    <w:rsid w:val="00672E36"/>
    <w:rsid w:val="006C0BFD"/>
    <w:rsid w:val="006C51B1"/>
    <w:rsid w:val="006D0FED"/>
    <w:rsid w:val="006D167F"/>
    <w:rsid w:val="006E4490"/>
    <w:rsid w:val="006F2179"/>
    <w:rsid w:val="0071015E"/>
    <w:rsid w:val="00720FC5"/>
    <w:rsid w:val="00744158"/>
    <w:rsid w:val="00747044"/>
    <w:rsid w:val="00754EAC"/>
    <w:rsid w:val="00766085"/>
    <w:rsid w:val="00775D2B"/>
    <w:rsid w:val="007A5820"/>
    <w:rsid w:val="007D53FF"/>
    <w:rsid w:val="007E6A58"/>
    <w:rsid w:val="007F7651"/>
    <w:rsid w:val="00842714"/>
    <w:rsid w:val="008A026D"/>
    <w:rsid w:val="008A1FE0"/>
    <w:rsid w:val="008C44A2"/>
    <w:rsid w:val="008D6192"/>
    <w:rsid w:val="008E5052"/>
    <w:rsid w:val="009029E8"/>
    <w:rsid w:val="00982AFE"/>
    <w:rsid w:val="009B0620"/>
    <w:rsid w:val="009B4233"/>
    <w:rsid w:val="009C477C"/>
    <w:rsid w:val="009D7361"/>
    <w:rsid w:val="00A13660"/>
    <w:rsid w:val="00A4715F"/>
    <w:rsid w:val="00A62FCE"/>
    <w:rsid w:val="00A643A8"/>
    <w:rsid w:val="00A70A4D"/>
    <w:rsid w:val="00A774C3"/>
    <w:rsid w:val="00A83841"/>
    <w:rsid w:val="00AA06B5"/>
    <w:rsid w:val="00AB677C"/>
    <w:rsid w:val="00AC1661"/>
    <w:rsid w:val="00AE50EF"/>
    <w:rsid w:val="00AF3C19"/>
    <w:rsid w:val="00B41204"/>
    <w:rsid w:val="00B5578F"/>
    <w:rsid w:val="00B6692E"/>
    <w:rsid w:val="00B71955"/>
    <w:rsid w:val="00BA29F8"/>
    <w:rsid w:val="00BD6E32"/>
    <w:rsid w:val="00BE061F"/>
    <w:rsid w:val="00C42D33"/>
    <w:rsid w:val="00C53C82"/>
    <w:rsid w:val="00C60541"/>
    <w:rsid w:val="00C62C16"/>
    <w:rsid w:val="00C931EF"/>
    <w:rsid w:val="00C96055"/>
    <w:rsid w:val="00CB1986"/>
    <w:rsid w:val="00CB7D21"/>
    <w:rsid w:val="00CC5EE4"/>
    <w:rsid w:val="00CE575D"/>
    <w:rsid w:val="00D003FA"/>
    <w:rsid w:val="00D04E9B"/>
    <w:rsid w:val="00D7408D"/>
    <w:rsid w:val="00D8336C"/>
    <w:rsid w:val="00DB392C"/>
    <w:rsid w:val="00DC34A8"/>
    <w:rsid w:val="00DD209E"/>
    <w:rsid w:val="00DF47D4"/>
    <w:rsid w:val="00E0317D"/>
    <w:rsid w:val="00E114A3"/>
    <w:rsid w:val="00E1216D"/>
    <w:rsid w:val="00E177B0"/>
    <w:rsid w:val="00E26CC1"/>
    <w:rsid w:val="00E347AF"/>
    <w:rsid w:val="00F026E6"/>
    <w:rsid w:val="00F0304B"/>
    <w:rsid w:val="00F14852"/>
    <w:rsid w:val="00F4734A"/>
    <w:rsid w:val="00F526A3"/>
    <w:rsid w:val="00F55E70"/>
    <w:rsid w:val="00F72E90"/>
    <w:rsid w:val="00FB7009"/>
    <w:rsid w:val="00FD67A8"/>
    <w:rsid w:val="00FE14B1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04FB"/>
  <w15:chartTrackingRefBased/>
  <w15:docId w15:val="{9318C932-1534-480A-8603-6AFE065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4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FE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2A"/>
  </w:style>
  <w:style w:type="paragraph" w:styleId="Footer">
    <w:name w:val="footer"/>
    <w:basedOn w:val="Normal"/>
    <w:link w:val="FooterChar"/>
    <w:uiPriority w:val="99"/>
    <w:unhideWhenUsed/>
    <w:rsid w:val="0055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ester.edu/policies/policy/shift-different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ealth.ny.gov/health_care/medicaid/providers/hwb_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ny.gov/health_care/medicaid/providers/hwb_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CC8-4639-401B-9F4D-6D215135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Barrette, Lori</dc:creator>
  <cp:keywords/>
  <dc:description/>
  <cp:lastModifiedBy>Devault, Jennifer S</cp:lastModifiedBy>
  <cp:revision>4</cp:revision>
  <dcterms:created xsi:type="dcterms:W3CDTF">2022-10-18T21:07:00Z</dcterms:created>
  <dcterms:modified xsi:type="dcterms:W3CDTF">2022-10-18T21:15:00Z</dcterms:modified>
</cp:coreProperties>
</file>